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42EB" w:rsidRDefault="00000000" w14:paraId="266FDE78" w14:noSpellErr="1" w14:textId="35F98A5F">
      <w:pPr>
        <w:pStyle w:val="Nadpis1"/>
      </w:pPr>
      <w:r w:rsidR="00000000">
        <w:rPr/>
        <w:t>Příloha – Detailní rozpad realizace pro jednotlivou křižovatku</w:t>
      </w:r>
    </w:p>
    <w:p w:rsidR="00DC42EB" w:rsidRDefault="00000000" w14:paraId="2CB6663B" w14:noSpellErr="1" w14:textId="7D6A97CC">
      <w:r w:rsidR="00000000">
        <w:rPr/>
        <w:t>Tato příloha slouží jako šablona pro detailní popis realizace každé konkrétní křižovatky. Lze ji duplikovat a doplnit podle počtu lokalit.</w:t>
      </w:r>
    </w:p>
    <w:p w:rsidR="00DC42EB" w:rsidRDefault="00000000" w14:paraId="6C7CA798" w14:noSpellErr="1" w14:textId="678D1CF4">
      <w:r w:rsidR="00000000">
        <w:rPr/>
        <w:t>1. Identifikace křižovatky</w:t>
      </w:r>
      <w:r>
        <w:br/>
      </w:r>
      <w:r w:rsidR="00000000">
        <w:rPr/>
        <w:t>- Název / adresa</w:t>
      </w:r>
      <w:r>
        <w:br/>
      </w:r>
      <w:r w:rsidR="00000000">
        <w:rPr/>
        <w:t>- GPS souřadnice</w:t>
      </w:r>
      <w:r>
        <w:br/>
      </w:r>
      <w:r w:rsidR="00000000">
        <w:rPr/>
        <w:t>- Typ křižovatky (T, X, kruhový objezd se signalizací…)</w:t>
      </w:r>
    </w:p>
    <w:p w:rsidR="00DC42EB" w:rsidRDefault="00000000" w14:paraId="05365AF9" w14:noSpellErr="1" w14:textId="4D804768">
      <w:r w:rsidR="00000000">
        <w:rPr/>
        <w:t>2. Výchozí stav</w:t>
      </w:r>
      <w:r>
        <w:br/>
      </w:r>
      <w:r w:rsidR="00000000">
        <w:rPr/>
        <w:t>- Použitý řadič, typ svítidel, stav sloupů, kabeláže, detekce</w:t>
      </w:r>
      <w:r>
        <w:br/>
      </w:r>
      <w:r w:rsidR="00000000">
        <w:rPr/>
        <w:t>- Specifika (MHD pruhy, přechody, cyklostezka)</w:t>
      </w:r>
    </w:p>
    <w:p w:rsidR="00DC42EB" w:rsidRDefault="00000000" w14:paraId="114CB38A" w14:noSpellErr="1" w14:textId="4BA0A0C8">
      <w:r w:rsidR="00000000">
        <w:rPr/>
        <w:t>3. Časový harmonogram (rozpad po hodinách / dnech)</w:t>
      </w:r>
      <w:r>
        <w:br/>
      </w:r>
      <w:r w:rsidR="00000000">
        <w:rPr/>
        <w:t>- 0:00–2:00 – dopravní opatření, odpojení starého systému</w:t>
      </w:r>
      <w:r>
        <w:br/>
      </w:r>
      <w:r w:rsidR="00000000">
        <w:rPr/>
        <w:t>- 2:00–6:00 – demontáž a instalace nových sloupů / svítidel</w:t>
      </w:r>
      <w:r>
        <w:br/>
      </w:r>
      <w:r w:rsidR="00000000">
        <w:rPr/>
        <w:t>- 6:00–10:00 – kabeláž, zapojení řadiče, UPS, test napájení</w:t>
      </w:r>
      <w:r>
        <w:br/>
      </w:r>
      <w:r w:rsidR="00000000">
        <w:rPr/>
        <w:t>- 10:00–14:00 – konfigurace, softwarové nastavení</w:t>
      </w:r>
      <w:r>
        <w:br/>
      </w:r>
      <w:r w:rsidR="00000000">
        <w:rPr/>
        <w:t>- 14:00–18:00 – testy, zkušební provoz</w:t>
      </w:r>
    </w:p>
    <w:p w:rsidR="00DC42EB" w:rsidRDefault="00000000" w14:paraId="469067A2" w14:noSpellErr="1" w14:textId="5B408F0E">
      <w:r w:rsidR="1C06194F">
        <w:rPr/>
        <w:t xml:space="preserve">4. </w:t>
      </w:r>
      <w:r w:rsidR="1C06194F">
        <w:rPr/>
        <w:t>Seznam</w:t>
      </w:r>
      <w:r w:rsidR="1C06194F">
        <w:rPr/>
        <w:t xml:space="preserve"> </w:t>
      </w:r>
      <w:r w:rsidR="1C06194F">
        <w:rPr/>
        <w:t>potřebného</w:t>
      </w:r>
      <w:r w:rsidR="1C06194F">
        <w:rPr/>
        <w:t xml:space="preserve"> </w:t>
      </w:r>
      <w:r w:rsidR="1C06194F">
        <w:rPr/>
        <w:t>materiálu</w:t>
      </w:r>
      <w:r w:rsidR="1C06194F">
        <w:rPr/>
        <w:t xml:space="preserve"> a vybavení</w:t>
      </w:r>
      <w:r>
        <w:br/>
      </w:r>
      <w:r w:rsidR="1C06194F">
        <w:rPr/>
        <w:t>- BOM</w:t>
      </w:r>
      <w:r w:rsidR="42E20FC9">
        <w:rPr/>
        <w:t xml:space="preserve"> (kusovník)</w:t>
      </w:r>
      <w:r w:rsidR="1C06194F">
        <w:rPr/>
        <w:t xml:space="preserve"> (včetně náhradních dílů)</w:t>
      </w:r>
      <w:r>
        <w:br/>
      </w:r>
      <w:r w:rsidR="1C06194F">
        <w:rPr/>
        <w:t>- Potřebná technika (plošina, generátor, měřící přístroje)</w:t>
      </w:r>
    </w:p>
    <w:p w:rsidR="00DC42EB" w:rsidRDefault="00000000" w14:paraId="2CE49C07" w14:noSpellErr="1" w14:textId="1BC6938F">
      <w:r w:rsidR="00000000">
        <w:rPr/>
        <w:t>5. Zodpovědnosti (RACI pro konkrétní místo)</w:t>
      </w:r>
      <w:r>
        <w:br/>
      </w:r>
      <w:r w:rsidR="00000000">
        <w:rPr/>
        <w:t>- Montážní tým A: demontáž a instalace</w:t>
      </w:r>
      <w:r>
        <w:br/>
      </w:r>
      <w:r w:rsidR="00000000">
        <w:rPr/>
        <w:t>- Elektro tým: kabeláž a zapojení</w:t>
      </w:r>
      <w:r>
        <w:br/>
      </w:r>
      <w:r w:rsidR="00000000">
        <w:rPr/>
        <w:t>- IT tým: konfigurace a testy</w:t>
      </w:r>
      <w:r>
        <w:br/>
      </w:r>
      <w:r w:rsidR="00000000">
        <w:rPr/>
        <w:t>- Koordinátor bezpečnosti: kontrola pracovního prostoru</w:t>
      </w:r>
    </w:p>
    <w:p w:rsidR="00DC42EB" w:rsidRDefault="00000000" w14:paraId="59427AC7" w14:noSpellErr="1" w14:textId="12AE1249">
      <w:r w:rsidR="00000000">
        <w:rPr/>
        <w:t>6. Povolení a dopravní opatření</w:t>
      </w:r>
      <w:r>
        <w:br/>
      </w:r>
      <w:r w:rsidR="00000000">
        <w:rPr/>
        <w:t>- Číslo povolení k uzavírce</w:t>
      </w:r>
      <w:r>
        <w:br/>
      </w:r>
      <w:r w:rsidR="00000000">
        <w:rPr/>
        <w:t>- Kontakty na dopravní policii / správce komunikace</w:t>
      </w:r>
    </w:p>
    <w:p w:rsidR="00DC42EB" w:rsidRDefault="00000000" w14:paraId="666D1402" w14:noSpellErr="1" w14:textId="03D2F950">
      <w:r w:rsidR="00000000">
        <w:rPr/>
        <w:t>7. Testovací a akceptační protokol</w:t>
      </w:r>
      <w:r>
        <w:br/>
      </w:r>
      <w:r w:rsidR="00000000">
        <w:rPr/>
        <w:t>- Checklist: funkční režimy, zelené vlny, detekce chodců, MHD priorita</w:t>
      </w:r>
      <w:r>
        <w:br/>
      </w:r>
      <w:r w:rsidR="00000000">
        <w:rPr/>
        <w:t>- Podpisy odpovědných osob</w:t>
      </w:r>
    </w:p>
    <w:p w:rsidR="00DC42EB" w:rsidRDefault="00000000" w14:paraId="01A58A44" w14:noSpellErr="1" w14:textId="0F03B3E3">
      <w:r w:rsidR="00000000">
        <w:rPr/>
        <w:t>8. Dokumentace a předání</w:t>
      </w:r>
      <w:r>
        <w:br/>
      </w:r>
      <w:r w:rsidR="00000000">
        <w:rPr/>
        <w:t>- As-built výkresy (upravena dokumentace skutečného provedení)</w:t>
      </w:r>
      <w:r>
        <w:br/>
      </w:r>
      <w:r w:rsidR="00000000">
        <w:rPr/>
        <w:t>- Konfigurační soubory SW</w:t>
      </w:r>
      <w:r>
        <w:br/>
      </w:r>
      <w:r w:rsidR="00000000">
        <w:rPr/>
        <w:t>- Předávací protokol</w:t>
      </w:r>
    </w:p>
    <w:sectPr w:rsidR="00DC42EB" w:rsidSect="0003461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6AC1" w:rsidP="00A87DA2" w:rsidRDefault="00C56AC1" w14:paraId="388FE87E" w14:textId="77777777">
      <w:pPr>
        <w:spacing w:after="0" w:line="240" w:lineRule="auto"/>
      </w:pPr>
      <w:r>
        <w:separator/>
      </w:r>
    </w:p>
  </w:endnote>
  <w:endnote w:type="continuationSeparator" w:id="0">
    <w:p w:rsidR="00C56AC1" w:rsidP="00A87DA2" w:rsidRDefault="00C56AC1" w14:paraId="6870A9B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6AC1" w:rsidP="00A87DA2" w:rsidRDefault="00C56AC1" w14:paraId="4F6A9051" w14:textId="77777777">
      <w:pPr>
        <w:spacing w:after="0" w:line="240" w:lineRule="auto"/>
      </w:pPr>
      <w:r>
        <w:separator/>
      </w:r>
    </w:p>
  </w:footnote>
  <w:footnote w:type="continuationSeparator" w:id="0">
    <w:p w:rsidR="00C56AC1" w:rsidP="00A87DA2" w:rsidRDefault="00C56AC1" w14:paraId="212C8A6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899250188">
    <w:abstractNumId w:val="8"/>
  </w:num>
  <w:num w:numId="2" w16cid:durableId="1150319251">
    <w:abstractNumId w:val="6"/>
  </w:num>
  <w:num w:numId="3" w16cid:durableId="1611933376">
    <w:abstractNumId w:val="5"/>
  </w:num>
  <w:num w:numId="4" w16cid:durableId="2076735563">
    <w:abstractNumId w:val="4"/>
  </w:num>
  <w:num w:numId="5" w16cid:durableId="670183003">
    <w:abstractNumId w:val="7"/>
  </w:num>
  <w:num w:numId="6" w16cid:durableId="1295133914">
    <w:abstractNumId w:val="3"/>
  </w:num>
  <w:num w:numId="7" w16cid:durableId="1074666686">
    <w:abstractNumId w:val="2"/>
  </w:num>
  <w:num w:numId="8" w16cid:durableId="618536528">
    <w:abstractNumId w:val="1"/>
  </w:num>
  <w:num w:numId="9" w16cid:durableId="20409981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removePersonalInformation/>
  <w:removeDateAndTime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0000"/>
    <w:rsid w:val="00034616"/>
    <w:rsid w:val="0006063C"/>
    <w:rsid w:val="0015074B"/>
    <w:rsid w:val="0029639D"/>
    <w:rsid w:val="00326F90"/>
    <w:rsid w:val="00A87DA2"/>
    <w:rsid w:val="00AA1D8D"/>
    <w:rsid w:val="00B47730"/>
    <w:rsid w:val="00C1485E"/>
    <w:rsid w:val="00C56AC1"/>
    <w:rsid w:val="00CB0664"/>
    <w:rsid w:val="00DC42EB"/>
    <w:rsid w:val="00FC693F"/>
    <w:rsid w:val="1C06194F"/>
    <w:rsid w:val="42E20FC9"/>
    <w:rsid w:val="619DD9C1"/>
    <w:rsid w:val="7C6A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5C4F60"/>
  <w14:defaultImageDpi w14:val="330"/>
  <w15:docId w15:val="{9810791D-D57A-47F2-B82E-F500A969EA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styleId="Nadpis1Char" w:customStyle="1">
    <w:name w:val="Nadpis 1 Char"/>
    <w:basedOn w:val="Standardnpsmoodstavce"/>
    <w:link w:val="Nadpis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dpis2Char" w:customStyle="1">
    <w:name w:val="Nadpis 2 Char"/>
    <w:basedOn w:val="Standardnpsmoodstavce"/>
    <w:link w:val="Nadpis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dpis3Char" w:customStyle="1">
    <w:name w:val="Nadpis 3 Char"/>
    <w:basedOn w:val="Standardnpsmoodstavce"/>
    <w:link w:val="Nadpis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NzevChar" w:customStyle="1">
    <w:name w:val="Název Char"/>
    <w:basedOn w:val="Standardnpsmoodstavce"/>
    <w:link w:val="Nzev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PodnadpisChar" w:customStyle="1">
    <w:name w:val="Podnadpis Char"/>
    <w:basedOn w:val="Standardnpsmoodstavce"/>
    <w:link w:val="Podnadpis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styleId="Zkladntext2Char" w:customStyle="1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xtmakraChar" w:customStyle="1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styleId="CittChar" w:customStyle="1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D704631DF0B64C81475FE7A4DEEEC4" ma:contentTypeVersion="12" ma:contentTypeDescription="Create a new document." ma:contentTypeScope="" ma:versionID="f3f468dd7cb9b9201573e720a4e5b795">
  <xsd:schema xmlns:xsd="http://www.w3.org/2001/XMLSchema" xmlns:xs="http://www.w3.org/2001/XMLSchema" xmlns:p="http://schemas.microsoft.com/office/2006/metadata/properties" xmlns:ns2="f5a3a29d-d600-4527-bac8-e2702f81d3b7" xmlns:ns3="b2db6126-0ae7-4bde-b921-0758323d34ff" targetNamespace="http://schemas.microsoft.com/office/2006/metadata/properties" ma:root="true" ma:fieldsID="c16f80ff1974d141c93ecd6c8277b996" ns2:_="" ns3:_="">
    <xsd:import namespace="f5a3a29d-d600-4527-bac8-e2702f81d3b7"/>
    <xsd:import namespace="b2db6126-0ae7-4bde-b921-0758323d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a29d-d600-4527-bac8-e2702f81d3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827b887-7d9f-44db-9aa9-6f5af526cf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6126-0ae7-4bde-b921-0758323d34f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2e10b6-96bb-446f-aca1-098aa66b9869}" ma:internalName="TaxCatchAll" ma:showField="CatchAllData" ma:web="b2db6126-0ae7-4bde-b921-0758323d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a3a29d-d600-4527-bac8-e2702f81d3b7">
      <Terms xmlns="http://schemas.microsoft.com/office/infopath/2007/PartnerControls"/>
    </lcf76f155ced4ddcb4097134ff3c332f>
    <TaxCatchAll xmlns="b2db6126-0ae7-4bde-b921-0758323d34ff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754042-82EF-4153-9C08-0018816FBFA3}"/>
</file>

<file path=customXml/itemProps3.xml><?xml version="1.0" encoding="utf-8"?>
<ds:datastoreItem xmlns:ds="http://schemas.openxmlformats.org/officeDocument/2006/customXml" ds:itemID="{75CEA08A-4F09-4D96-86A7-829CE9ED2B07}"/>
</file>

<file path=customXml/itemProps4.xml><?xml version="1.0" encoding="utf-8"?>
<ds:datastoreItem xmlns:ds="http://schemas.openxmlformats.org/officeDocument/2006/customXml" ds:itemID="{53287243-5207-44F9-B173-F3C561B0F5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Trnka Martin, Bc.</lastModifiedBy>
  <revision>3</revision>
  <dcterms:created xsi:type="dcterms:W3CDTF">2025-10-19T19:47:00.0000000Z</dcterms:created>
  <dcterms:modified xsi:type="dcterms:W3CDTF">2025-10-21T08:19:42.8257597Z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0x01010027D704631DF0B64C81475FE7A4DEEEC4</vt:lpwstr>
  </property>
  <property fmtid="{D5CDD505-2E9C-101B-9397-08002B2CF9AE}" pid="3" name="MediaServiceImageTags">
    <vt:lpwstr/>
  </property>
</Properties>
</file>